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FA3A" w14:textId="02DEE000" w:rsidR="006A436F" w:rsidRPr="0070741D" w:rsidRDefault="001B5EC4">
      <w:pPr>
        <w:rPr>
          <w:b/>
          <w:bCs/>
        </w:rPr>
      </w:pPr>
      <w:r w:rsidRPr="0070741D">
        <w:rPr>
          <w:b/>
          <w:bCs/>
        </w:rPr>
        <w:t>Quo vadis, Gottesdienst?</w:t>
      </w:r>
    </w:p>
    <w:p w14:paraId="3E051CFC" w14:textId="72CBFDC6" w:rsidR="001B5EC4" w:rsidRPr="0070741D" w:rsidRDefault="001B5EC4">
      <w:pPr>
        <w:rPr>
          <w:b/>
          <w:bCs/>
        </w:rPr>
      </w:pPr>
      <w:r w:rsidRPr="0070741D">
        <w:rPr>
          <w:b/>
          <w:bCs/>
        </w:rPr>
        <w:t>Hildesheim, 2.-4.5.23</w:t>
      </w:r>
    </w:p>
    <w:p w14:paraId="49921EA0" w14:textId="58F8D877" w:rsidR="001B5EC4" w:rsidRPr="0070741D" w:rsidRDefault="001B5EC4">
      <w:pPr>
        <w:rPr>
          <w:b/>
          <w:bCs/>
        </w:rPr>
      </w:pPr>
      <w:r w:rsidRPr="0070741D">
        <w:rPr>
          <w:b/>
          <w:bCs/>
        </w:rPr>
        <w:t>Beitrag zur Prozessbeobachtung</w:t>
      </w:r>
    </w:p>
    <w:p w14:paraId="4055F4B3" w14:textId="584CB3D2" w:rsidR="001B5EC4" w:rsidRDefault="001B5EC4">
      <w:r>
        <w:t>Dr. Janis Berzins, Predigerseminar Loccum</w:t>
      </w:r>
    </w:p>
    <w:p w14:paraId="13C1EA1B" w14:textId="77777777" w:rsidR="001B5EC4" w:rsidRDefault="001B5EC4"/>
    <w:p w14:paraId="315B8A3E" w14:textId="43BF5045" w:rsidR="001B5EC4" w:rsidRPr="0070741D" w:rsidRDefault="001B5EC4">
      <w:pPr>
        <w:rPr>
          <w:rFonts w:asciiTheme="majorHAnsi" w:hAnsiTheme="majorHAnsi" w:cstheme="majorHAnsi"/>
          <w:sz w:val="44"/>
          <w:szCs w:val="44"/>
        </w:rPr>
      </w:pPr>
      <w:r w:rsidRPr="0070741D">
        <w:rPr>
          <w:rFonts w:asciiTheme="majorHAnsi" w:hAnsiTheme="majorHAnsi" w:cstheme="majorHAnsi"/>
          <w:sz w:val="44"/>
          <w:szCs w:val="44"/>
        </w:rPr>
        <w:t>Ein Eindruck und drei Listen</w:t>
      </w:r>
    </w:p>
    <w:p w14:paraId="023B7EE1" w14:textId="77777777" w:rsidR="001B5EC4" w:rsidRDefault="001B5EC4"/>
    <w:p w14:paraId="0FDD2225" w14:textId="285F4C53" w:rsidR="001B5EC4" w:rsidRPr="0070741D" w:rsidRDefault="001B5EC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0741D">
        <w:rPr>
          <w:rFonts w:asciiTheme="majorHAnsi" w:hAnsiTheme="majorHAnsi" w:cstheme="majorHAnsi"/>
          <w:b/>
          <w:bCs/>
          <w:sz w:val="28"/>
          <w:szCs w:val="28"/>
        </w:rPr>
        <w:t>Ein Eindruck</w:t>
      </w:r>
    </w:p>
    <w:p w14:paraId="74DF61AF" w14:textId="5E7CB90F" w:rsidR="001B5EC4" w:rsidRDefault="001B5EC4" w:rsidP="00A7223C">
      <w:pPr>
        <w:jc w:val="both"/>
      </w:pPr>
      <w:r>
        <w:t>Im ersten Quartettgespräch nach dem Ankommen äußert ein Gesprächspartner: „Ich hoffe, wir diskutieren hier wirklich einmal grundsätzlich und radikal über den Gottesdienst.“ Ich spüre ambivalente Gefühle: Einerseits den Wunsch: Ja, das wäre großartig, noch einmal einen ganz neuen, nie dagewesenen Ansatz zum Thema Gottesdienst zu finden. Andererseits die Angst: Alle Diskussionen</w:t>
      </w:r>
      <w:r w:rsidR="002D0923">
        <w:t>, insbesondere in meiner Arbeit</w:t>
      </w:r>
      <w:r>
        <w:t xml:space="preserve"> mit Vikar*Innen im Predigerseminar zur Zukunft des Gottesdienstes könnten zu zaghaft, zu sehr am Bestehenden orientiert gewesen sein.</w:t>
      </w:r>
    </w:p>
    <w:p w14:paraId="1C4972EA" w14:textId="7320ABCC" w:rsidR="001B5EC4" w:rsidRDefault="001B5EC4" w:rsidP="00A7223C">
      <w:pPr>
        <w:jc w:val="both"/>
      </w:pPr>
      <w:r>
        <w:t xml:space="preserve">Im Laufe der Tagung der Eindruck: Es ist dran, begonnene Wege weiterzugehen und vorhandene Ideen und Ansätze </w:t>
      </w:r>
      <w:r w:rsidR="002D0923">
        <w:t xml:space="preserve">mutig(er) und </w:t>
      </w:r>
      <w:r>
        <w:t xml:space="preserve">konsequent(er) umzusetzen. Die Gefühle, die ich bei mir wahrnehme: Gott sei Dank, wir sind mit unserer Arbeit im Predigerseminar dran an den aktuellen Fragen. Zugleich die Enttäuschung: Die </w:t>
      </w:r>
      <w:r w:rsidR="002D0923">
        <w:t>ganz neuen und grundstürzenden Ideen, die alle spürbaren Probleme in der gegenwärtigen Arbeit am Thema Gottesdienst lösen, sind nicht in Sicht – und die Hoffnung darauf vermutlich auch illusorisch.</w:t>
      </w:r>
    </w:p>
    <w:p w14:paraId="0661DFB6" w14:textId="77777777" w:rsidR="002D0923" w:rsidRDefault="002D0923" w:rsidP="00A7223C">
      <w:pPr>
        <w:jc w:val="both"/>
      </w:pPr>
    </w:p>
    <w:p w14:paraId="1D440598" w14:textId="78ECED07" w:rsidR="002D0923" w:rsidRPr="00B53826" w:rsidRDefault="002D0923" w:rsidP="00A7223C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53826">
        <w:rPr>
          <w:rFonts w:asciiTheme="majorHAnsi" w:hAnsiTheme="majorHAnsi" w:cstheme="majorHAnsi"/>
          <w:b/>
          <w:bCs/>
          <w:sz w:val="28"/>
          <w:szCs w:val="28"/>
        </w:rPr>
        <w:t>Liste 1:</w:t>
      </w:r>
      <w:r w:rsidR="00EC6CC5" w:rsidRPr="00B53826">
        <w:rPr>
          <w:rFonts w:asciiTheme="majorHAnsi" w:hAnsiTheme="majorHAnsi" w:cstheme="majorHAnsi"/>
          <w:b/>
          <w:bCs/>
          <w:sz w:val="28"/>
          <w:szCs w:val="28"/>
        </w:rPr>
        <w:t xml:space="preserve"> Fragestellungen und Pointierungen, die nachwirken </w:t>
      </w:r>
    </w:p>
    <w:p w14:paraId="31439DB1" w14:textId="158B94E3" w:rsidR="00EC6CC5" w:rsidRDefault="00EC6CC5" w:rsidP="00A7223C">
      <w:pPr>
        <w:jc w:val="both"/>
      </w:pPr>
      <w:r>
        <w:rPr>
          <w:rFonts w:cstheme="minorHAnsi"/>
        </w:rPr>
        <w:t>•</w:t>
      </w:r>
      <w:r>
        <w:t xml:space="preserve">Welche Rolle spielt der </w:t>
      </w:r>
      <w:r w:rsidRPr="007415EE">
        <w:rPr>
          <w:b/>
          <w:bCs/>
        </w:rPr>
        <w:t>oikos-Gedanke</w:t>
      </w:r>
      <w:r>
        <w:t xml:space="preserve"> (Christian Grethlein), eventuell als Ergänzung zum Gemeindegottesdienst, eventuell als vertrauter und geschützter Ort</w:t>
      </w:r>
      <w:r w:rsidR="00B53826">
        <w:t xml:space="preserve">, </w:t>
      </w:r>
      <w:r>
        <w:t xml:space="preserve">eventuell als Ort individueller Übung (Julia Koll), </w:t>
      </w:r>
      <w:r w:rsidR="00B53826">
        <w:t xml:space="preserve">eventuell, um </w:t>
      </w:r>
      <w:r w:rsidR="0059097B">
        <w:t xml:space="preserve">einen öffentlichen Gottesdienst (mit dem Anspruch einer öffentlichen Theologie) und einen (aus guten seelsorglichen </w:t>
      </w:r>
      <w:r w:rsidR="00D2379A">
        <w:t xml:space="preserve">oder auch biblischen </w:t>
      </w:r>
      <w:r w:rsidR="0059097B">
        <w:t>Gründen</w:t>
      </w:r>
      <w:r w:rsidR="00D2379A">
        <w:t>?</w:t>
      </w:r>
      <w:r w:rsidR="0059097B">
        <w:t xml:space="preserve">) nicht-öffentlichen Gottesdienst (CA XIV fordert das </w:t>
      </w:r>
      <w:r w:rsidR="0059097B" w:rsidRPr="0059097B">
        <w:rPr>
          <w:i/>
          <w:iCs/>
        </w:rPr>
        <w:t>rite vocatus</w:t>
      </w:r>
      <w:r w:rsidR="0059097B">
        <w:t xml:space="preserve"> für einen </w:t>
      </w:r>
      <w:r w:rsidR="0059097B" w:rsidRPr="00AC4A60">
        <w:rPr>
          <w:i/>
          <w:iCs/>
        </w:rPr>
        <w:t>öffentlichen</w:t>
      </w:r>
      <w:r w:rsidR="0059097B">
        <w:t xml:space="preserve"> Gottesdienst!) nebeneinander gelten zu lassen</w:t>
      </w:r>
      <w:r w:rsidR="00A7223C">
        <w:t>?</w:t>
      </w:r>
    </w:p>
    <w:p w14:paraId="084C3E89" w14:textId="69A6E339" w:rsidR="008E5DF6" w:rsidRDefault="008E5DF6" w:rsidP="00A7223C">
      <w:pPr>
        <w:jc w:val="both"/>
      </w:pPr>
      <w:r>
        <w:rPr>
          <w:rFonts w:cstheme="minorHAnsi"/>
        </w:rPr>
        <w:t>•</w:t>
      </w:r>
      <w:r>
        <w:t xml:space="preserve">Welche </w:t>
      </w:r>
      <w:r w:rsidRPr="007415EE">
        <w:rPr>
          <w:b/>
          <w:bCs/>
        </w:rPr>
        <w:t>Erwartung</w:t>
      </w:r>
      <w:r>
        <w:t xml:space="preserve"> haben wir </w:t>
      </w:r>
      <w:r w:rsidR="007415EE">
        <w:t>daran, was im</w:t>
      </w:r>
      <w:r>
        <w:t xml:space="preserve"> Gottesdienst</w:t>
      </w:r>
      <w:r w:rsidR="007415EE">
        <w:t xml:space="preserve"> </w:t>
      </w:r>
      <w:r w:rsidR="007415EE" w:rsidRPr="007415EE">
        <w:rPr>
          <w:b/>
          <w:bCs/>
        </w:rPr>
        <w:t>geschieht</w:t>
      </w:r>
      <w:r>
        <w:t xml:space="preserve"> – haben wir alle die gleiche Erwartung: Tatsächlich „Gott erfahren“ (Alexander Deeg) und dem lebendigen Gott begegnen oder doch eher „</w:t>
      </w:r>
      <w:r w:rsidR="00A7223C">
        <w:t>Lebense</w:t>
      </w:r>
      <w:r>
        <w:t>rfahrungen religiös deuten“ – letztlich eine Frage an die Theologie des Gottesdienstes?</w:t>
      </w:r>
    </w:p>
    <w:p w14:paraId="181712E3" w14:textId="3A40FE26" w:rsidR="008E5DF6" w:rsidRDefault="008E5DF6" w:rsidP="00A7223C">
      <w:pPr>
        <w:jc w:val="both"/>
        <w:rPr>
          <w:rFonts w:cstheme="minorHAnsi"/>
        </w:rPr>
      </w:pPr>
      <w:r>
        <w:rPr>
          <w:rFonts w:cstheme="minorHAnsi"/>
        </w:rPr>
        <w:t>•</w:t>
      </w:r>
      <w:r w:rsidR="00B45D60">
        <w:rPr>
          <w:rFonts w:cstheme="minorHAnsi"/>
        </w:rPr>
        <w:t xml:space="preserve">Eine der großen Forderungen im Blick auf unsere Gottesdienste ist Aktualität (als Teil eines Lebensbezuges). Ausgehend von den Beobachtungen von Anne Gidion: An welchen Stellen täte demgegenüber eine </w:t>
      </w:r>
      <w:r w:rsidR="00B45D60" w:rsidRPr="007415EE">
        <w:rPr>
          <w:rFonts w:cstheme="minorHAnsi"/>
          <w:b/>
          <w:bCs/>
        </w:rPr>
        <w:t>„Entaktualisierung“</w:t>
      </w:r>
      <w:r w:rsidR="00B45D60">
        <w:rPr>
          <w:rFonts w:cstheme="minorHAnsi"/>
        </w:rPr>
        <w:t xml:space="preserve"> not? An welchen Stellen tun sich Menschen schwer mit den pastoralen Bemühungen, tagesaktuell zu sprechen?</w:t>
      </w:r>
    </w:p>
    <w:p w14:paraId="49C5AEEC" w14:textId="11558799" w:rsidR="00B45D60" w:rsidRDefault="00B45D60" w:rsidP="00A7223C">
      <w:pPr>
        <w:jc w:val="both"/>
        <w:rPr>
          <w:rFonts w:cstheme="minorHAnsi"/>
        </w:rPr>
      </w:pPr>
      <w:r>
        <w:rPr>
          <w:rFonts w:cstheme="minorHAnsi"/>
        </w:rPr>
        <w:t xml:space="preserve">•Was kann Gottesdienst von der Logik des </w:t>
      </w:r>
      <w:r w:rsidRPr="007415EE">
        <w:rPr>
          <w:rFonts w:cstheme="minorHAnsi"/>
          <w:b/>
          <w:bCs/>
        </w:rPr>
        <w:t>„Festes“</w:t>
      </w:r>
      <w:r>
        <w:rPr>
          <w:rFonts w:cstheme="minorHAnsi"/>
        </w:rPr>
        <w:t xml:space="preserve"> lernen (Emilia Handke)? Und auf welches Fest beziehen wir uns (Familienfeier (</w:t>
      </w:r>
      <w:r w:rsidR="00A7223C">
        <w:rPr>
          <w:rFonts w:cstheme="minorHAnsi"/>
        </w:rPr>
        <w:t xml:space="preserve">welche? </w:t>
      </w:r>
      <w:r>
        <w:rPr>
          <w:rFonts w:cstheme="minorHAnsi"/>
        </w:rPr>
        <w:t xml:space="preserve">Hochzeit oder Goldene Hochzeit?), Party, Festival…). Vielleicht </w:t>
      </w:r>
      <w:r>
        <w:rPr>
          <w:rFonts w:cstheme="minorHAnsi"/>
        </w:rPr>
        <w:lastRenderedPageBreak/>
        <w:t xml:space="preserve">wäre schon etwas gelungen, wenn wir mit den Worten „Wir </w:t>
      </w:r>
      <w:r w:rsidRPr="00A7223C">
        <w:rPr>
          <w:rFonts w:cstheme="minorHAnsi"/>
          <w:i/>
          <w:iCs/>
        </w:rPr>
        <w:t>feiern</w:t>
      </w:r>
      <w:r>
        <w:rPr>
          <w:rFonts w:cstheme="minorHAnsi"/>
        </w:rPr>
        <w:t xml:space="preserve"> Gottesdienst im Namen des Vaters, des Sohnes und des Heiligen Geistes“ zu Beginn eines Gottesdienstes nicht erkennbar lügen.</w:t>
      </w:r>
    </w:p>
    <w:p w14:paraId="6DC664F4" w14:textId="454A44B0" w:rsidR="00B45D60" w:rsidRDefault="00B45D60" w:rsidP="00A7223C">
      <w:pPr>
        <w:jc w:val="both"/>
        <w:rPr>
          <w:rFonts w:cstheme="minorHAnsi"/>
        </w:rPr>
      </w:pPr>
      <w:r>
        <w:rPr>
          <w:rFonts w:cstheme="minorHAnsi"/>
        </w:rPr>
        <w:t xml:space="preserve">•An welchen Stellen erwarten oder benötigen Gemeinden/Kirchenvorstände/Pfarrpersonen eine landeskirchliche </w:t>
      </w:r>
      <w:r w:rsidRPr="00A7223C">
        <w:rPr>
          <w:rFonts w:cstheme="minorHAnsi"/>
          <w:b/>
          <w:bCs/>
        </w:rPr>
        <w:t>„Erlaubnis“</w:t>
      </w:r>
      <w:r>
        <w:rPr>
          <w:rFonts w:cstheme="minorHAnsi"/>
        </w:rPr>
        <w:t xml:space="preserve"> zu gottesdienstlichen Aufbrüchen?</w:t>
      </w:r>
      <w:r w:rsidR="00A7223C">
        <w:rPr>
          <w:rFonts w:cstheme="minorHAnsi"/>
        </w:rPr>
        <w:t xml:space="preserve"> Wer müsste die aussprechen?</w:t>
      </w:r>
    </w:p>
    <w:p w14:paraId="099ED1F0" w14:textId="463689EC" w:rsidR="00B45D60" w:rsidRDefault="00B45D60" w:rsidP="00A7223C">
      <w:pPr>
        <w:jc w:val="both"/>
        <w:rPr>
          <w:rFonts w:cstheme="minorHAnsi"/>
        </w:rPr>
      </w:pPr>
      <w:r>
        <w:rPr>
          <w:rFonts w:cstheme="minorHAnsi"/>
        </w:rPr>
        <w:t>•</w:t>
      </w:r>
      <w:r w:rsidR="00870C76">
        <w:rPr>
          <w:rFonts w:cstheme="minorHAnsi"/>
        </w:rPr>
        <w:t xml:space="preserve">Gottesdienste sind nur noch im </w:t>
      </w:r>
      <w:r w:rsidR="00870C76" w:rsidRPr="00A7223C">
        <w:rPr>
          <w:rFonts w:cstheme="minorHAnsi"/>
          <w:b/>
          <w:bCs/>
        </w:rPr>
        <w:t>Plural</w:t>
      </w:r>
      <w:r w:rsidR="00870C76">
        <w:rPr>
          <w:rFonts w:cstheme="minorHAnsi"/>
        </w:rPr>
        <w:t xml:space="preserve"> zu denken. Bedeutet das auch, dass sie diverser zu denken sind? An welchen Stellen spielt </w:t>
      </w:r>
      <w:r w:rsidR="00870C76" w:rsidRPr="00A7223C">
        <w:rPr>
          <w:rFonts w:cstheme="minorHAnsi"/>
          <w:b/>
          <w:bCs/>
        </w:rPr>
        <w:t>Diversität</w:t>
      </w:r>
      <w:r w:rsidR="00870C76">
        <w:rPr>
          <w:rFonts w:cstheme="minorHAnsi"/>
        </w:rPr>
        <w:t xml:space="preserve"> eine </w:t>
      </w:r>
      <w:r w:rsidR="00A7223C">
        <w:rPr>
          <w:rFonts w:cstheme="minorHAnsi"/>
        </w:rPr>
        <w:t xml:space="preserve">wirkliche </w:t>
      </w:r>
      <w:r w:rsidR="00870C76">
        <w:rPr>
          <w:rFonts w:cstheme="minorHAnsi"/>
        </w:rPr>
        <w:t>Rolle?</w:t>
      </w:r>
    </w:p>
    <w:p w14:paraId="79748689" w14:textId="257C9167" w:rsidR="00870C76" w:rsidRDefault="00870C76" w:rsidP="00A7223C">
      <w:pPr>
        <w:jc w:val="both"/>
        <w:rPr>
          <w:rFonts w:cstheme="minorHAnsi"/>
        </w:rPr>
      </w:pPr>
      <w:r>
        <w:rPr>
          <w:rFonts w:cstheme="minorHAnsi"/>
        </w:rPr>
        <w:t xml:space="preserve">•Wenn Gottesdienste nur noch im Plural zu denken sind, welche Rolle spielt dann das </w:t>
      </w:r>
      <w:r w:rsidRPr="00A7223C">
        <w:rPr>
          <w:rFonts w:cstheme="minorHAnsi"/>
          <w:b/>
          <w:bCs/>
        </w:rPr>
        <w:t>Verbindende</w:t>
      </w:r>
      <w:r>
        <w:rPr>
          <w:rFonts w:cstheme="minorHAnsi"/>
        </w:rPr>
        <w:t>? Müsste es etwas äußerlich Erkennbares</w:t>
      </w:r>
      <w:r w:rsidR="00A7223C">
        <w:rPr>
          <w:rFonts w:cstheme="minorHAnsi"/>
        </w:rPr>
        <w:t>, sich in der Form Abbildendes</w:t>
      </w:r>
      <w:r>
        <w:rPr>
          <w:rFonts w:cstheme="minorHAnsi"/>
        </w:rPr>
        <w:t xml:space="preserve"> sein oder reicht eine innere Verbundenheit</w:t>
      </w:r>
      <w:r w:rsidR="00A7223C">
        <w:rPr>
          <w:rFonts w:cstheme="minorHAnsi"/>
        </w:rPr>
        <w:t xml:space="preserve"> (CA VII: satis est)</w:t>
      </w:r>
      <w:r>
        <w:rPr>
          <w:rFonts w:cstheme="minorHAnsi"/>
        </w:rPr>
        <w:t>?</w:t>
      </w:r>
    </w:p>
    <w:p w14:paraId="0A1E2850" w14:textId="3F6F5950" w:rsidR="00870C76" w:rsidRDefault="00870C76" w:rsidP="00A7223C">
      <w:pPr>
        <w:jc w:val="both"/>
      </w:pPr>
      <w:r>
        <w:rPr>
          <w:rFonts w:cstheme="minorHAnsi"/>
        </w:rPr>
        <w:t xml:space="preserve">•Welche Rolle spielt die Haltung der </w:t>
      </w:r>
      <w:r w:rsidRPr="00A7223C">
        <w:rPr>
          <w:rFonts w:cstheme="minorHAnsi"/>
          <w:b/>
          <w:bCs/>
        </w:rPr>
        <w:t xml:space="preserve">Anbetung </w:t>
      </w:r>
      <w:r>
        <w:rPr>
          <w:rFonts w:cstheme="minorHAnsi"/>
        </w:rPr>
        <w:t xml:space="preserve">und des </w:t>
      </w:r>
      <w:r w:rsidRPr="00A7223C">
        <w:rPr>
          <w:rFonts w:cstheme="minorHAnsi"/>
          <w:b/>
          <w:bCs/>
        </w:rPr>
        <w:t>Gotteslobes</w:t>
      </w:r>
      <w:r>
        <w:rPr>
          <w:rFonts w:cstheme="minorHAnsi"/>
        </w:rPr>
        <w:t xml:space="preserve">? Stilistisch sehr verschiedene </w:t>
      </w:r>
      <w:r w:rsidR="00A7223C">
        <w:rPr>
          <w:rFonts w:cstheme="minorHAnsi"/>
        </w:rPr>
        <w:t xml:space="preserve">und in unterschiedlichen Milieus präferierte </w:t>
      </w:r>
      <w:r>
        <w:rPr>
          <w:rFonts w:cstheme="minorHAnsi"/>
        </w:rPr>
        <w:t>Formen wie Worship-Gottesdienst oder Evensong machen diese Perspektive stark. Eher ethisch-pädagogisch ausgerichtete Perspektiven auf den Gottesdienst setzen hier eher keinen Schwerpunkt.</w:t>
      </w:r>
    </w:p>
    <w:p w14:paraId="2394DEAB" w14:textId="77777777" w:rsidR="002D0923" w:rsidRDefault="002D0923" w:rsidP="00A7223C">
      <w:pPr>
        <w:jc w:val="both"/>
      </w:pPr>
    </w:p>
    <w:p w14:paraId="2374D0E3" w14:textId="1908B233" w:rsidR="002D0923" w:rsidRPr="0070741D" w:rsidRDefault="002D0923" w:rsidP="00A7223C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0741D">
        <w:rPr>
          <w:rFonts w:asciiTheme="majorHAnsi" w:hAnsiTheme="majorHAnsi" w:cstheme="majorHAnsi"/>
          <w:b/>
          <w:bCs/>
          <w:sz w:val="28"/>
          <w:szCs w:val="28"/>
        </w:rPr>
        <w:t>Liste 2:</w:t>
      </w:r>
      <w:r w:rsidR="0070741D" w:rsidRPr="0070741D">
        <w:rPr>
          <w:rFonts w:asciiTheme="majorHAnsi" w:hAnsiTheme="majorHAnsi" w:cstheme="majorHAnsi"/>
          <w:b/>
          <w:bCs/>
          <w:sz w:val="28"/>
          <w:szCs w:val="28"/>
        </w:rPr>
        <w:t xml:space="preserve"> Fragen, die – nach meiner Wahrnehmung – nicht (oder nur </w:t>
      </w:r>
      <w:r w:rsidR="00B45D60">
        <w:rPr>
          <w:rFonts w:asciiTheme="majorHAnsi" w:hAnsiTheme="majorHAnsi" w:cstheme="majorHAnsi"/>
          <w:b/>
          <w:bCs/>
          <w:sz w:val="28"/>
          <w:szCs w:val="28"/>
        </w:rPr>
        <w:t>am Rande</w:t>
      </w:r>
      <w:r w:rsidR="0070741D" w:rsidRPr="0070741D">
        <w:rPr>
          <w:rFonts w:asciiTheme="majorHAnsi" w:hAnsiTheme="majorHAnsi" w:cstheme="majorHAnsi"/>
          <w:b/>
          <w:bCs/>
          <w:sz w:val="28"/>
          <w:szCs w:val="28"/>
        </w:rPr>
        <w:t>) diskutiert wurden</w:t>
      </w:r>
    </w:p>
    <w:p w14:paraId="7120BDDE" w14:textId="1078CE3F" w:rsidR="0070741D" w:rsidRDefault="0070741D" w:rsidP="00A7223C">
      <w:pPr>
        <w:jc w:val="both"/>
      </w:pPr>
      <w:r>
        <w:rPr>
          <w:rFonts w:cstheme="minorHAnsi"/>
        </w:rPr>
        <w:t xml:space="preserve">•Welche Rolle spielt die </w:t>
      </w:r>
      <w:r w:rsidRPr="00A7223C">
        <w:rPr>
          <w:rFonts w:cstheme="minorHAnsi"/>
          <w:b/>
          <w:bCs/>
        </w:rPr>
        <w:t>Predigt</w:t>
      </w:r>
      <w:r>
        <w:rPr>
          <w:rFonts w:cstheme="minorHAnsi"/>
        </w:rPr>
        <w:t xml:space="preserve"> im Gottesdienst der Zukunft?</w:t>
      </w:r>
    </w:p>
    <w:p w14:paraId="776086F2" w14:textId="3B005E7E" w:rsidR="0070741D" w:rsidRDefault="0070741D" w:rsidP="00A7223C">
      <w:pPr>
        <w:jc w:val="both"/>
      </w:pPr>
      <w:r>
        <w:rPr>
          <w:rFonts w:cstheme="minorHAnsi"/>
        </w:rPr>
        <w:t xml:space="preserve">•Ist das </w:t>
      </w:r>
      <w:r w:rsidRPr="00A7223C">
        <w:rPr>
          <w:rFonts w:cstheme="minorHAnsi"/>
          <w:b/>
          <w:bCs/>
        </w:rPr>
        <w:t>Paradigma „Verkündigung“</w:t>
      </w:r>
      <w:r>
        <w:rPr>
          <w:rFonts w:cstheme="minorHAnsi"/>
        </w:rPr>
        <w:t xml:space="preserve"> noch angemessen für den Gottesdienst der Zukunft?</w:t>
      </w:r>
    </w:p>
    <w:p w14:paraId="3ECE8023" w14:textId="24DF2558" w:rsidR="0070741D" w:rsidRDefault="0070741D" w:rsidP="00A7223C">
      <w:pPr>
        <w:jc w:val="both"/>
        <w:rPr>
          <w:rFonts w:cstheme="minorHAnsi"/>
        </w:rPr>
      </w:pPr>
      <w:r>
        <w:rPr>
          <w:rFonts w:cstheme="minorHAnsi"/>
        </w:rPr>
        <w:t xml:space="preserve">•Welche Rolle spielt die </w:t>
      </w:r>
      <w:r w:rsidRPr="00A7223C">
        <w:rPr>
          <w:rFonts w:cstheme="minorHAnsi"/>
          <w:b/>
          <w:bCs/>
        </w:rPr>
        <w:t>Perikopenordnung</w:t>
      </w:r>
      <w:r>
        <w:rPr>
          <w:rFonts w:cstheme="minorHAnsi"/>
        </w:rPr>
        <w:t xml:space="preserve"> im Gottesdienst der Zukunft? Was für eine Perikopenordnung brauchen wir?</w:t>
      </w:r>
    </w:p>
    <w:p w14:paraId="440323C1" w14:textId="0E09CDB5" w:rsidR="0070741D" w:rsidRPr="0070741D" w:rsidRDefault="0070741D" w:rsidP="00A7223C">
      <w:pPr>
        <w:jc w:val="both"/>
        <w:rPr>
          <w:rFonts w:cstheme="minorHAnsi"/>
        </w:rPr>
      </w:pPr>
      <w:r>
        <w:rPr>
          <w:rFonts w:cstheme="minorHAnsi"/>
        </w:rPr>
        <w:t xml:space="preserve">•Bei allem Bekenntnis zur Pluralität: </w:t>
      </w:r>
      <w:r w:rsidR="00AC4A60">
        <w:rPr>
          <w:rFonts w:cstheme="minorHAnsi"/>
        </w:rPr>
        <w:t>Wie wirksam ist</w:t>
      </w:r>
      <w:r>
        <w:rPr>
          <w:rFonts w:cstheme="minorHAnsi"/>
        </w:rPr>
        <w:t xml:space="preserve"> – bei aller Ablehnung des Begriffs „Hauptgottesdienst“ – noch immer das (heimliche oder unbewusste) Paradigma</w:t>
      </w:r>
      <w:r w:rsidR="00EC6CC5">
        <w:rPr>
          <w:rFonts w:cstheme="minorHAnsi"/>
        </w:rPr>
        <w:t xml:space="preserve"> vom </w:t>
      </w:r>
      <w:r w:rsidR="00EC6CC5" w:rsidRPr="00A7223C">
        <w:rPr>
          <w:rFonts w:cstheme="minorHAnsi"/>
          <w:b/>
          <w:bCs/>
        </w:rPr>
        <w:t>„eigentlichen“</w:t>
      </w:r>
      <w:r w:rsidR="00EC6CC5">
        <w:rPr>
          <w:rFonts w:cstheme="minorHAnsi"/>
        </w:rPr>
        <w:t xml:space="preserve"> G</w:t>
      </w:r>
      <w:r w:rsidR="00A7223C">
        <w:rPr>
          <w:rFonts w:cstheme="minorHAnsi"/>
        </w:rPr>
        <w:t>emeindeg</w:t>
      </w:r>
      <w:r w:rsidR="00EC6CC5">
        <w:rPr>
          <w:rFonts w:cstheme="minorHAnsi"/>
        </w:rPr>
        <w:t>ottesdienst „sonntags um 10“?</w:t>
      </w:r>
    </w:p>
    <w:p w14:paraId="78F08DB9" w14:textId="77777777" w:rsidR="002D0923" w:rsidRDefault="002D0923" w:rsidP="00A7223C">
      <w:pPr>
        <w:jc w:val="both"/>
      </w:pPr>
    </w:p>
    <w:p w14:paraId="41BA95E5" w14:textId="54B2934B" w:rsidR="002D0923" w:rsidRPr="0070741D" w:rsidRDefault="002D0923" w:rsidP="00A7223C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0741D">
        <w:rPr>
          <w:rFonts w:asciiTheme="majorHAnsi" w:hAnsiTheme="majorHAnsi" w:cstheme="majorHAnsi"/>
          <w:b/>
          <w:bCs/>
          <w:sz w:val="28"/>
          <w:szCs w:val="28"/>
        </w:rPr>
        <w:t>Liste 3: Spannungen, die es zu halten gilt</w:t>
      </w:r>
    </w:p>
    <w:p w14:paraId="0D639C39" w14:textId="4A69CADB" w:rsidR="002D0923" w:rsidRDefault="002D0923" w:rsidP="00A7223C">
      <w:pPr>
        <w:jc w:val="both"/>
      </w:pPr>
      <w:r>
        <w:t xml:space="preserve">In der Diskussion über den Gottesdienst der Zukunft werden mitunter schlagwortartig bestimmte Perspektiven eingefordert – und in manchen Diskussionen tut das auch not. Dennoch gibt es gute Gründe, dass auch die gegensätzliche Perspektive zu ihrem Recht kommt – </w:t>
      </w:r>
      <w:r w:rsidRPr="0021670A">
        <w:rPr>
          <w:i/>
          <w:iCs/>
        </w:rPr>
        <w:t>audiatur et altera pars</w:t>
      </w:r>
      <w:r w:rsidR="0021670A">
        <w:t>.</w:t>
      </w:r>
    </w:p>
    <w:p w14:paraId="2F0B5AB1" w14:textId="52D54C34" w:rsidR="002D0923" w:rsidRDefault="00634793" w:rsidP="00A7223C">
      <w:pPr>
        <w:jc w:val="both"/>
      </w:pPr>
      <w:r>
        <w:t>Gottesdienste leben von je neu zu gewichtenden Ambivalenzen:</w:t>
      </w:r>
    </w:p>
    <w:p w14:paraId="3A4A03F3" w14:textId="581C0829" w:rsidR="00634793" w:rsidRDefault="00634793" w:rsidP="00A7223C">
      <w:pPr>
        <w:jc w:val="both"/>
      </w:pPr>
      <w:r>
        <w:rPr>
          <w:rFonts w:cstheme="minorHAnsi"/>
        </w:rPr>
        <w:t>•</w:t>
      </w:r>
      <w:r>
        <w:t>neu und alt – Innovation und Tradition</w:t>
      </w:r>
    </w:p>
    <w:p w14:paraId="1AC48AF0" w14:textId="5A101A2F" w:rsidR="00634793" w:rsidRDefault="00634793" w:rsidP="00A7223C">
      <w:pPr>
        <w:jc w:val="both"/>
      </w:pPr>
      <w:r>
        <w:rPr>
          <w:rFonts w:cstheme="minorHAnsi"/>
        </w:rPr>
        <w:t>•</w:t>
      </w:r>
      <w:r>
        <w:t>popularkulturell und klassisch</w:t>
      </w:r>
    </w:p>
    <w:p w14:paraId="65D01867" w14:textId="5DABC5E5" w:rsidR="00634793" w:rsidRDefault="00634793" w:rsidP="00A7223C">
      <w:pPr>
        <w:jc w:val="both"/>
      </w:pPr>
      <w:r>
        <w:rPr>
          <w:rFonts w:cstheme="minorHAnsi"/>
        </w:rPr>
        <w:t>•</w:t>
      </w:r>
      <w:r>
        <w:t>niedrigschwellig und herausfordernd (mit dem Impuls: das will ich verstehen, da möchte ich dazugehören, und dafür wende ich Energie auf)</w:t>
      </w:r>
    </w:p>
    <w:p w14:paraId="5511D75C" w14:textId="497B8EE1" w:rsidR="00634793" w:rsidRDefault="00634793" w:rsidP="00A7223C">
      <w:pPr>
        <w:jc w:val="both"/>
      </w:pPr>
      <w:r>
        <w:rPr>
          <w:rFonts w:cstheme="minorHAnsi"/>
        </w:rPr>
        <w:t>•</w:t>
      </w:r>
      <w:r>
        <w:t>Wohnzimmervertrautheit und Fremdheitserfahrung</w:t>
      </w:r>
    </w:p>
    <w:p w14:paraId="43A24573" w14:textId="6C8CA9D3" w:rsidR="00634793" w:rsidRDefault="00634793" w:rsidP="00A7223C">
      <w:pPr>
        <w:jc w:val="both"/>
      </w:pPr>
      <w:r>
        <w:rPr>
          <w:rFonts w:cstheme="minorHAnsi"/>
        </w:rPr>
        <w:t>•</w:t>
      </w:r>
      <w:r>
        <w:t>tagesaktuell und überzeitlich („Endaktualisierung“</w:t>
      </w:r>
      <w:r w:rsidR="00863FE9">
        <w:t xml:space="preserve"> – Anne Gidion)</w:t>
      </w:r>
    </w:p>
    <w:p w14:paraId="43B39E3D" w14:textId="3C9B389C" w:rsidR="00863FE9" w:rsidRDefault="00863FE9" w:rsidP="00A7223C">
      <w:pPr>
        <w:jc w:val="both"/>
      </w:pPr>
      <w:r>
        <w:rPr>
          <w:rFonts w:cstheme="minorHAnsi"/>
        </w:rPr>
        <w:t>•</w:t>
      </w:r>
      <w:r>
        <w:t>Gemeinschaft herstellen und Distanz ermöglichen</w:t>
      </w:r>
    </w:p>
    <w:p w14:paraId="4B287F46" w14:textId="327F073D" w:rsidR="00863FE9" w:rsidRDefault="00863FE9" w:rsidP="00A7223C">
      <w:pPr>
        <w:jc w:val="both"/>
      </w:pPr>
      <w:r>
        <w:rPr>
          <w:rFonts w:cstheme="minorHAnsi"/>
        </w:rPr>
        <w:lastRenderedPageBreak/>
        <w:t>•</w:t>
      </w:r>
      <w:r w:rsidR="008466ED">
        <w:t>spielerisch-leicht und ernsthaft-würdevoll</w:t>
      </w:r>
    </w:p>
    <w:p w14:paraId="59A8F912" w14:textId="59E4B241" w:rsidR="008466ED" w:rsidRDefault="008466ED" w:rsidP="00A7223C">
      <w:pPr>
        <w:jc w:val="both"/>
      </w:pPr>
      <w:r>
        <w:rPr>
          <w:rFonts w:cstheme="minorHAnsi"/>
        </w:rPr>
        <w:t>•</w:t>
      </w:r>
      <w:r>
        <w:t>high energy und low energy</w:t>
      </w:r>
    </w:p>
    <w:p w14:paraId="091B1545" w14:textId="1A80256D" w:rsidR="008466ED" w:rsidRDefault="008466ED" w:rsidP="00A7223C">
      <w:pPr>
        <w:jc w:val="both"/>
      </w:pPr>
      <w:r>
        <w:rPr>
          <w:rFonts w:cstheme="minorHAnsi"/>
        </w:rPr>
        <w:t>•</w:t>
      </w:r>
      <w:r>
        <w:t>Perfektion (</w:t>
      </w:r>
      <w:r w:rsidR="0021670A">
        <w:t>„</w:t>
      </w:r>
      <w:r>
        <w:t>Qualität“?) und Imperfektion (Raum für Menschlichkeit)</w:t>
      </w:r>
    </w:p>
    <w:sectPr w:rsidR="008466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C4"/>
    <w:rsid w:val="001B5EC4"/>
    <w:rsid w:val="0021670A"/>
    <w:rsid w:val="002D0923"/>
    <w:rsid w:val="0059097B"/>
    <w:rsid w:val="00634793"/>
    <w:rsid w:val="006A436F"/>
    <w:rsid w:val="0070741D"/>
    <w:rsid w:val="007415EE"/>
    <w:rsid w:val="007847E6"/>
    <w:rsid w:val="008466ED"/>
    <w:rsid w:val="00863FE9"/>
    <w:rsid w:val="00870C76"/>
    <w:rsid w:val="008E5DF6"/>
    <w:rsid w:val="00A7223C"/>
    <w:rsid w:val="00AC4A60"/>
    <w:rsid w:val="00B45D60"/>
    <w:rsid w:val="00B53826"/>
    <w:rsid w:val="00D2379A"/>
    <w:rsid w:val="00E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AF2"/>
  <w15:chartTrackingRefBased/>
  <w15:docId w15:val="{2F7681DA-5E64-470C-8EA2-B1863028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Berzins, Janis</dc:creator>
  <cp:keywords/>
  <dc:description/>
  <cp:lastModifiedBy>Berzins, Janis</cp:lastModifiedBy>
  <cp:revision>9</cp:revision>
  <dcterms:created xsi:type="dcterms:W3CDTF">2023-05-11T08:06:00Z</dcterms:created>
  <dcterms:modified xsi:type="dcterms:W3CDTF">2023-05-15T15:02:00Z</dcterms:modified>
</cp:coreProperties>
</file>